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F510E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Pr="002A62CE">
        <w:rPr>
          <w:rFonts w:ascii="Times New Roman" w:hAnsi="Times New Roman" w:cs="Times-New-Roman"/>
          <w:lang w:val="sr-Latn-CS"/>
        </w:rPr>
        <w:t xml:space="preserve">08.01. 2013.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Verzija: 2                                      Revizija:  31.12.2012.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2A62CE" w:rsidRPr="002A62CE" w:rsidTr="00152071">
        <w:trPr>
          <w:trHeight w:val="2193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3724" w:rsidRPr="006A6001" w:rsidRDefault="008A3724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001" w:rsidRP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6A6001" w:rsidRPr="0045753D" w:rsidRDefault="006A6001" w:rsidP="006A600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 w:rsidRPr="0045753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CAPTEX T2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8A3724" w:rsidRPr="002A62CE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211161V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6A6001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 xml:space="preserve">Prema uputstvu </w:t>
            </w:r>
            <w:proofErr w:type="gramStart"/>
            <w:r w:rsidRPr="002A62CE">
              <w:rPr>
                <w:rFonts w:ascii="Times New Roman" w:hAnsi="Times New Roman" w:cs="Times New Roman"/>
              </w:rPr>
              <w:t>za  proizvod</w:t>
            </w:r>
            <w:proofErr w:type="gramEnd"/>
            <w:r w:rsidRPr="002A62CE">
              <w:rPr>
                <w:rFonts w:ascii="Times New Roman" w:hAnsi="Times New Roman" w:cs="Times New Roman"/>
              </w:rPr>
              <w:t xml:space="preserve"> ili prema dobroj  poljoprivrednoj praksi.</w:t>
            </w:r>
          </w:p>
        </w:tc>
      </w:tr>
      <w:tr w:rsidR="002A62CE" w:rsidRPr="002A62CE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A6001">
        <w:trPr>
          <w:trHeight w:val="97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6A6001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DOX-AL ITALIA S.p.A.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Largo Donegani, 2, 20121 Milano-Italy</w:t>
            </w:r>
          </w:p>
          <w:p w:rsidR="00723511" w:rsidRPr="002A62CE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 xml:space="preserve">0039-039-6205.1 </w:t>
            </w:r>
            <w:r w:rsidRPr="0045753D">
              <w:rPr>
                <w:rFonts w:ascii="Times-New-Roman" w:hAnsi="Times-New-Roman" w:cs="Times-New-Roman"/>
                <w:b/>
                <w:lang w:val="de-DE"/>
              </w:rPr>
              <w:t>fax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 w:rsidRPr="000D36E7">
              <w:rPr>
                <w:rFonts w:ascii="Times-New-Roman" w:hAnsi="Times-New-Roman" w:cs="Times-New-Roman"/>
                <w:lang w:val="de-DE"/>
              </w:rPr>
              <w:t>0039</w:t>
            </w:r>
            <w:r>
              <w:rPr>
                <w:rFonts w:ascii="Times-New-Roman" w:hAnsi="Times-New-Roman" w:cs="Times-New-Roman"/>
                <w:b/>
                <w:lang w:val="de-DE"/>
              </w:rPr>
              <w:t>-</w:t>
            </w:r>
            <w:r>
              <w:rPr>
                <w:rFonts w:ascii="Times-New-Roman" w:hAnsi="Times-New-Roman" w:cs="Times-New-Roman"/>
                <w:lang w:val="de-DE"/>
              </w:rPr>
              <w:t>039-6205.400</w:t>
            </w:r>
          </w:p>
        </w:tc>
      </w:tr>
      <w:tr w:rsidR="006A6001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6A6001" w:rsidRPr="008D2344" w:rsidRDefault="006A6001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6001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6A6001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</w:p>
          <w:p w:rsidR="00F72B16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6001" w:rsidRPr="00E073A5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F72B16" w:rsidRDefault="00F72B16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350"/>
        <w:gridCol w:w="1350"/>
        <w:gridCol w:w="1890"/>
        <w:gridCol w:w="1710"/>
        <w:gridCol w:w="190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4536EA">
        <w:trPr>
          <w:trHeight w:val="440"/>
          <w:jc w:val="center"/>
        </w:trPr>
        <w:tc>
          <w:tcPr>
            <w:tcW w:w="550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A3724" w:rsidRDefault="008A3724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6A6001" w:rsidRDefault="006A6001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Prema Direktivi 67/548/CE, 99/45/EC i proi</w:t>
            </w:r>
            <w:r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zašlih propisa: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NE ISPUNJAVA KRITERIJUME ZA KLASIFIKACIJU</w:t>
            </w:r>
          </w:p>
        </w:tc>
      </w:tr>
      <w:tr w:rsidR="00152071" w:rsidTr="004536EA">
        <w:trPr>
          <w:trHeight w:val="215"/>
          <w:jc w:val="center"/>
        </w:trPr>
        <w:tc>
          <w:tcPr>
            <w:tcW w:w="550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50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52071" w:rsidTr="004536EA">
        <w:trPr>
          <w:trHeight w:val="243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50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2A62CE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Nema </w:t>
            </w:r>
            <w:r w:rsidR="006A6001">
              <w:rPr>
                <w:rFonts w:ascii="Times New Roman" w:hAnsi="Times New Roman" w:cs="Times New Roman"/>
                <w:lang w:val="de-DE"/>
              </w:rPr>
              <w:t>poznatih štetnih uticaja.</w:t>
            </w:r>
          </w:p>
        </w:tc>
      </w:tr>
      <w:tr w:rsidR="00152071" w:rsidTr="004536EA">
        <w:trPr>
          <w:trHeight w:val="135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2071" w:rsidRPr="002A62CE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50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2A62CE" w:rsidRDefault="006A6001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Nema </w:t>
            </w:r>
            <w:r>
              <w:rPr>
                <w:rFonts w:ascii="Times New Roman" w:hAnsi="Times New Roman" w:cs="Times New Roman"/>
                <w:lang w:val="de-DE"/>
              </w:rPr>
              <w:t>poznatih štetnih uticaja.</w:t>
            </w:r>
          </w:p>
        </w:tc>
      </w:tr>
      <w:tr w:rsidR="00A25630" w:rsidTr="004536EA">
        <w:trPr>
          <w:trHeight w:val="917"/>
          <w:jc w:val="center"/>
        </w:trPr>
        <w:tc>
          <w:tcPr>
            <w:tcW w:w="55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50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Nema </w:t>
            </w:r>
            <w:r>
              <w:rPr>
                <w:rFonts w:ascii="Times New Roman" w:hAnsi="Times New Roman" w:cs="Times New Roman"/>
                <w:lang w:val="de-DE"/>
              </w:rPr>
              <w:t>poznatih štetnih efekata.</w:t>
            </w:r>
          </w:p>
        </w:tc>
      </w:tr>
      <w:tr w:rsidR="00A25630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50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2A62CE" w:rsidRDefault="006A6001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Nema </w:t>
            </w:r>
            <w:r>
              <w:rPr>
                <w:rFonts w:ascii="Times New Roman" w:hAnsi="Times New Roman" w:cs="Times New Roman"/>
                <w:lang w:val="de-DE"/>
              </w:rPr>
              <w:t>poznatih štetnih efekata.</w:t>
            </w:r>
          </w:p>
        </w:tc>
      </w:tr>
      <w:tr w:rsidR="00A25630" w:rsidTr="004536EA">
        <w:trPr>
          <w:trHeight w:val="465"/>
          <w:jc w:val="center"/>
        </w:trPr>
        <w:tc>
          <w:tcPr>
            <w:tcW w:w="55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550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Koža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0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6A6001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550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6A6001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550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550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Proizvod se ne smatra opasnim prema Dir. 1999/45/EC</w:t>
            </w:r>
            <w:r w:rsidR="00764709" w:rsidRPr="002A62CE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764709" w:rsidTr="004536EA">
        <w:trPr>
          <w:trHeight w:val="80"/>
          <w:jc w:val="center"/>
        </w:trPr>
        <w:tc>
          <w:tcPr>
            <w:tcW w:w="55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550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>Nema.</w:t>
            </w:r>
          </w:p>
        </w:tc>
      </w:tr>
      <w:tr w:rsidR="00764709" w:rsidTr="0071109E">
        <w:trPr>
          <w:trHeight w:val="51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764709" w:rsidTr="00884F14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A4469C" w:rsidRDefault="00764709" w:rsidP="006A600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3.2. Podaci o sastojcima smeše:</w:t>
            </w:r>
          </w:p>
        </w:tc>
      </w:tr>
      <w:tr w:rsidR="00764709" w:rsidTr="006A6001">
        <w:trPr>
          <w:trHeight w:val="288"/>
          <w:jc w:val="center"/>
        </w:trPr>
        <w:tc>
          <w:tcPr>
            <w:tcW w:w="11006" w:type="dxa"/>
            <w:gridSpan w:val="6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4709" w:rsidRPr="00A4469C" w:rsidRDefault="006A6001" w:rsidP="00BB05C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Opasne komponente prema EEC direktivi 67/548 i CLP </w:t>
            </w:r>
            <w:r w:rsidR="00BB05C2">
              <w:rPr>
                <w:rFonts w:ascii="Times-New-Roman" w:hAnsi="Times-New-Roman" w:cs="Times-New-Roman"/>
                <w:lang w:val="de-DE"/>
              </w:rPr>
              <w:t>uredbi</w:t>
            </w:r>
            <w:r>
              <w:rPr>
                <w:rFonts w:ascii="Times-New-Roman" w:hAnsi="Times-New-Roman" w:cs="Times-New-Roman"/>
                <w:lang w:val="de-DE"/>
              </w:rPr>
              <w:t>, kao i sličnim klasifikacijama</w:t>
            </w:r>
          </w:p>
        </w:tc>
      </w:tr>
      <w:tr w:rsidR="004536EA" w:rsidTr="004536EA">
        <w:trPr>
          <w:trHeight w:val="465"/>
          <w:jc w:val="center"/>
        </w:trPr>
        <w:tc>
          <w:tcPr>
            <w:tcW w:w="280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EA" w:rsidRPr="00A4469C" w:rsidRDefault="004536EA" w:rsidP="006A600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Komponent</w:t>
            </w:r>
            <w:r>
              <w:rPr>
                <w:rFonts w:ascii="Times-New-Roman" w:hAnsi="Times-New-Roman" w:cs="Times-New-Roman"/>
                <w:b/>
              </w:rPr>
              <w:t>a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6EA" w:rsidRPr="00A4469C" w:rsidRDefault="004536EA" w:rsidP="00884F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CAS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6EA" w:rsidRPr="00A4469C" w:rsidRDefault="004536EA" w:rsidP="005D5A2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EC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EA" w:rsidRPr="00A4469C" w:rsidRDefault="004536E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Znak  </w:t>
            </w:r>
            <w:r>
              <w:rPr>
                <w:rFonts w:ascii="Times-New-Roman" w:hAnsi="Times-New-Roman" w:cs="Times-New-Roman"/>
                <w:b/>
              </w:rPr>
              <w:t>opasnosti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EA" w:rsidRPr="00A4469C" w:rsidRDefault="004536E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Oznaka</w:t>
            </w:r>
            <w:r>
              <w:rPr>
                <w:rFonts w:ascii="Times-New-Roman" w:hAnsi="Times-New-Roman" w:cs="Times-New-Roman"/>
                <w:b/>
              </w:rPr>
              <w:t xml:space="preserve"> rizika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36EA" w:rsidRPr="00A4469C" w:rsidRDefault="004536EA" w:rsidP="00453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4536EA" w:rsidTr="004536EA">
        <w:trPr>
          <w:trHeight w:val="465"/>
          <w:jc w:val="center"/>
        </w:trPr>
        <w:tc>
          <w:tcPr>
            <w:tcW w:w="28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EA" w:rsidRPr="00BC01BC" w:rsidRDefault="004536EA" w:rsidP="004536E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Bentonite-Montmorillonite*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536EA">
              <w:rPr>
                <w:rFonts w:ascii="Times New Roman" w:hAnsi="Times New Roman" w:cs="Times New Roman"/>
                <w:bCs/>
                <w:lang w:val="de-DE"/>
              </w:rPr>
              <w:t>1302-78-9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536EA">
              <w:rPr>
                <w:rFonts w:ascii="Times New Roman" w:hAnsi="Times New Roman" w:cs="Times New Roman"/>
              </w:rPr>
              <w:t>215-108-5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536EA">
              <w:rPr>
                <w:rFonts w:ascii="Times New Roman" w:hAnsi="Times New Roman" w:cs="Times New Roman"/>
              </w:rPr>
              <w:t>nema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536EA">
              <w:rPr>
                <w:rFonts w:ascii="Times New Roman" w:hAnsi="Times New Roman" w:cs="Times New Roman"/>
              </w:rPr>
              <w:t>nema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536EA">
              <w:rPr>
                <w:rFonts w:ascii="Times New Roman" w:hAnsi="Times New Roman" w:cs="Times New Roman"/>
                <w:lang w:val="de-DE"/>
              </w:rPr>
              <w:t>70-80</w:t>
            </w:r>
          </w:p>
        </w:tc>
      </w:tr>
      <w:tr w:rsidR="004536EA" w:rsidTr="004536EA">
        <w:trPr>
          <w:trHeight w:val="465"/>
          <w:jc w:val="center"/>
        </w:trPr>
        <w:tc>
          <w:tcPr>
            <w:tcW w:w="280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EA" w:rsidRPr="00A4469C" w:rsidRDefault="004536EA" w:rsidP="004536E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Sepiolite*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536EA">
              <w:rPr>
                <w:rFonts w:ascii="Times New Roman" w:hAnsi="Times New Roman" w:cs="Times New Roman"/>
                <w:bCs/>
                <w:lang w:val="de-DE"/>
              </w:rPr>
              <w:t>63800-37-3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536EA">
              <w:rPr>
                <w:rFonts w:ascii="Times New Roman" w:hAnsi="Times New Roman" w:cs="Times New Roman"/>
                <w:bCs/>
                <w:lang w:val="de-DE"/>
              </w:rPr>
              <w:t>264-465-3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536EA">
              <w:rPr>
                <w:rFonts w:ascii="Times New Roman" w:hAnsi="Times New Roman" w:cs="Times New Roman"/>
              </w:rPr>
              <w:t>nema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536EA">
              <w:rPr>
                <w:rFonts w:ascii="Times New Roman" w:hAnsi="Times New Roman" w:cs="Times New Roman"/>
              </w:rPr>
              <w:t>nema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536EA" w:rsidRPr="004536EA" w:rsidRDefault="004536EA" w:rsidP="0045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536EA">
              <w:rPr>
                <w:rFonts w:ascii="Times New Roman" w:hAnsi="Times New Roman" w:cs="Times New Roman"/>
                <w:lang w:val="de-DE"/>
              </w:rPr>
              <w:t>10-12.5</w:t>
            </w:r>
          </w:p>
        </w:tc>
      </w:tr>
      <w:tr w:rsidR="004536EA" w:rsidTr="00BC22EF">
        <w:trPr>
          <w:trHeight w:val="348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536EA" w:rsidRPr="004536EA" w:rsidRDefault="004536E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r w:rsidRPr="004536EA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*</w:t>
            </w:r>
            <w:r w:rsidRPr="004536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supstance koje imaju  propisane vrednosti granic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4536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izlaganja na radnom mestu</w:t>
            </w:r>
          </w:p>
          <w:p w:rsidR="004536EA" w:rsidRPr="0072765F" w:rsidRDefault="004536E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sz w:val="10"/>
                <w:szCs w:val="10"/>
                <w:lang w:val="de-DE"/>
              </w:rPr>
            </w:pPr>
          </w:p>
        </w:tc>
      </w:tr>
    </w:tbl>
    <w:p w:rsidR="002C21D4" w:rsidRDefault="002C21D4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5128F" w:rsidRDefault="00E5128F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156B1" w:rsidRDefault="00D156B1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536EA" w:rsidRDefault="004536EA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536EA" w:rsidRDefault="004536EA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C21D4" w:rsidRPr="002C21D4" w:rsidRDefault="002C21D4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64709" w:rsidRPr="002A62CE" w:rsidRDefault="00764709" w:rsidP="00764709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DA295D" w:rsidRPr="002A62CE" w:rsidRDefault="00C464FB" w:rsidP="002C21D4">
      <w:pPr>
        <w:jc w:val="right"/>
        <w:rPr>
          <w:rFonts w:ascii="Times New Roman" w:hAnsi="Times New Roman" w:cs="Times New Roman"/>
        </w:rPr>
      </w:pPr>
      <w:r w:rsidRPr="002A62CE">
        <w:rPr>
          <w:rFonts w:ascii="Times New Roman" w:hAnsi="Times New Roman" w:cs="Times New Roman"/>
        </w:rPr>
        <w:t>Strana 2/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C464FB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2A62CE" w:rsidRDefault="00DA295D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2A62CE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2A62CE" w:rsidRDefault="004536EA" w:rsidP="005377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>, utopliti i umiriti</w:t>
            </w:r>
            <w:r w:rsidRPr="00A4469C">
              <w:rPr>
                <w:rFonts w:ascii="Times-New-Roman" w:hAnsi="Times-New-Roman" w:cs="Times-New-Roman"/>
              </w:rPr>
              <w:t>. Ako se pojave bilo kakvi simptomi trovanja potražiti lekarsku pomoć.</w:t>
            </w: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2A62CE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2A62CE" w:rsidRDefault="004536EA" w:rsidP="004536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Isprati sa dosta vode i sapuna</w:t>
            </w:r>
            <w:r w:rsidR="005377C2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2A62CE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2A62CE" w:rsidRDefault="004536EA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Odmah </w:t>
            </w:r>
            <w:r w:rsidRPr="00A4469C">
              <w:rPr>
                <w:rFonts w:ascii="Times-New-Roman" w:hAnsi="Times-New-Roman" w:cs="Times-New-Roman"/>
              </w:rPr>
              <w:t>ispr</w:t>
            </w:r>
            <w:r w:rsidR="00374134">
              <w:rPr>
                <w:rFonts w:ascii="Times-New-Roman" w:hAnsi="Times-New-Roman" w:cs="Times-New-Roman"/>
              </w:rPr>
              <w:t>a</w:t>
            </w:r>
            <w:r w:rsidRPr="00A4469C">
              <w:rPr>
                <w:rFonts w:ascii="Times-New-Roman" w:hAnsi="Times-New-Roman" w:cs="Times-New-Roman"/>
              </w:rPr>
              <w:t xml:space="preserve">ti </w:t>
            </w:r>
            <w:r>
              <w:rPr>
                <w:rFonts w:ascii="Times-New-Roman" w:hAnsi="Times-New-Roman" w:cs="Times-New-Roman"/>
              </w:rPr>
              <w:t>oči</w:t>
            </w:r>
            <w:r w:rsidR="00374134">
              <w:rPr>
                <w:rFonts w:ascii="Times-New-Roman" w:hAnsi="Times-New-Roman" w:cs="Times-New-Roman"/>
              </w:rPr>
              <w:t xml:space="preserve"> sa dosta </w:t>
            </w:r>
            <w:r w:rsidR="00374134" w:rsidRPr="00A4469C">
              <w:rPr>
                <w:rFonts w:ascii="Times-New-Roman" w:hAnsi="Times-New-Roman" w:cs="Times-New-Roman"/>
              </w:rPr>
              <w:t>vode</w:t>
            </w:r>
            <w:r w:rsidR="00374134">
              <w:rPr>
                <w:rFonts w:ascii="Times-New-Roman" w:hAnsi="Times-New-Roman" w:cs="Times-New-Roman"/>
              </w:rPr>
              <w:t>. Potražiti savet lekara.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2A62CE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2A62CE" w:rsidRDefault="00374134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Nema podataka, ali </w:t>
            </w:r>
            <w:r w:rsidR="005377C2" w:rsidRPr="002A62CE">
              <w:rPr>
                <w:rFonts w:ascii="Times New Roman" w:hAnsi="Times New Roman" w:cs="Times New Roman"/>
              </w:rPr>
              <w:t>ako se simptomi pojave i zadrže potražiti lekarsku pomoć.</w:t>
            </w:r>
          </w:p>
        </w:tc>
      </w:tr>
      <w:tr w:rsidR="00764709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37413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Nije naznačeno</w:t>
            </w:r>
            <w:r w:rsidR="00764709"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764709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374134" w:rsidP="00374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Nije naznačeno.</w:t>
            </w:r>
          </w:p>
        </w:tc>
      </w:tr>
      <w:tr w:rsidR="00764709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D00" w:rsidTr="00D51D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374134" w:rsidP="00D51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CO</w:t>
            </w:r>
            <w:r>
              <w:rPr>
                <w:rFonts w:ascii="Times-New-Roman" w:hAnsi="Times-New-Roman" w:cs="Times-New-Roman"/>
                <w:vertAlign w:val="subscript"/>
                <w:lang w:val="de-DE"/>
              </w:rPr>
              <w:t>2</w:t>
            </w:r>
            <w:r w:rsidR="00D51D00"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D51D00" w:rsidTr="00D51D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2A62CE" w:rsidRDefault="00374134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Nije naznačeno.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5.2. Po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374134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 udisati otrovne gasove</w:t>
            </w:r>
            <w:r>
              <w:rPr>
                <w:rFonts w:ascii="Times-New-Roman" w:hAnsi="Times-New-Roman" w:cs="Times-New-Roman"/>
                <w:lang w:val="de-DE"/>
              </w:rPr>
              <w:t xml:space="preserve"> koji se mogu pojaviti pri sagorevanju i ekploziji</w:t>
            </w:r>
            <w:r w:rsidR="00764709" w:rsidRPr="002A62CE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 xml:space="preserve"> Sagorevanjem nastaje težak dim.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374134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 Sakupiti otpadnu vodu od požara. Ovo se se ne sme odložiti putem kanalizacionog odvodnog sistema. Skoniti neoštećene kontejnere</w:t>
            </w:r>
            <w:r w:rsidR="0083593F">
              <w:rPr>
                <w:rFonts w:ascii="Times-New-Roman" w:hAnsi="Times-New-Roman" w:cs="Times-New-Roman"/>
                <w:lang w:val="de-DE"/>
              </w:rPr>
              <w:t xml:space="preserve"> iz zone opasnosti, ukoliko se to može uraditi bezbedno.</w:t>
            </w:r>
          </w:p>
        </w:tc>
      </w:tr>
      <w:tr w:rsidR="00764709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83593F" w:rsidP="008359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ličnu zaštitnu opremu. Skloniti osoblje na bezbedno mesto. Videti tačke 7. i 8.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2A62CE" w:rsidRDefault="00764709" w:rsidP="008359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 xml:space="preserve">Sprečiti dospeće proizvoda u </w:t>
            </w:r>
            <w:r w:rsidR="0083593F">
              <w:rPr>
                <w:rFonts w:ascii="Times New Roman" w:hAnsi="Times New Roman" w:cs="Times New Roman"/>
              </w:rPr>
              <w:t>zemlju/dublje slojeve zemlje.</w:t>
            </w:r>
            <w:r w:rsidR="0083593F" w:rsidRPr="002A62CE">
              <w:rPr>
                <w:rFonts w:ascii="Times New Roman" w:hAnsi="Times New Roman" w:cs="Times New Roman"/>
              </w:rPr>
              <w:t xml:space="preserve"> Sprečiti dospeće proizvoda </w:t>
            </w:r>
            <w:r w:rsidR="0083593F">
              <w:rPr>
                <w:rFonts w:ascii="Times New Roman" w:hAnsi="Times New Roman" w:cs="Times New Roman"/>
              </w:rPr>
              <w:t xml:space="preserve">u </w:t>
            </w:r>
            <w:r w:rsidRPr="002A62CE">
              <w:rPr>
                <w:rFonts w:ascii="Times New Roman" w:hAnsi="Times New Roman" w:cs="Times New Roman"/>
              </w:rPr>
              <w:t xml:space="preserve">površinske vode ili sanitarni kanalizacioni    odvodni sistem. </w:t>
            </w:r>
            <w:r w:rsidR="0083593F">
              <w:rPr>
                <w:rFonts w:ascii="Times New Roman" w:hAnsi="Times New Roman" w:cs="Times New Roman"/>
              </w:rPr>
              <w:t xml:space="preserve">Sakupiti otpadnu vodu korišćenu za pranje i odložiti. </w:t>
            </w:r>
            <w:r w:rsidRPr="002A62CE">
              <w:rPr>
                <w:rFonts w:ascii="Times New Roman" w:hAnsi="Times New Roman" w:cs="Times New Roman"/>
              </w:rPr>
              <w:t xml:space="preserve">U slučaju zagađenja okoline odmah obavestiti službu </w:t>
            </w:r>
            <w:r w:rsidRPr="002A62CE">
              <w:rPr>
                <w:rFonts w:ascii="Times New Roman" w:hAnsi="Times New Roman" w:cs="Times New Roman"/>
                <w:lang w:val="sr-Latn-CS"/>
              </w:rPr>
              <w:t>za zaštitu životne sredine</w:t>
            </w:r>
            <w:r w:rsidRPr="002A62CE">
              <w:rPr>
                <w:rFonts w:ascii="Times New Roman" w:hAnsi="Times New Roman" w:cs="Times New Roman"/>
              </w:rPr>
              <w:t xml:space="preserve"> ili drugu službu za hitne intervencije.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83593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Pogodan materijal za skupljanje proizvoda: apsorbujući materijal, organski, pesak.Oprati sa dosta vode.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2A62CE" w:rsidRDefault="00764709" w:rsidP="008359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 xml:space="preserve">Vidi tačku </w:t>
            </w:r>
            <w:r w:rsidR="0083593F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83593F">
              <w:rPr>
                <w:rFonts w:ascii="Times New Roman" w:hAnsi="Times New Roman" w:cs="Times New Roman"/>
              </w:rPr>
              <w:t>i</w:t>
            </w:r>
            <w:proofErr w:type="gramEnd"/>
            <w:r w:rsidR="0083593F">
              <w:rPr>
                <w:rFonts w:ascii="Times New Roman" w:hAnsi="Times New Roman" w:cs="Times New Roman"/>
              </w:rPr>
              <w:t xml:space="preserve"> </w:t>
            </w:r>
            <w:r w:rsidRPr="002A62CE">
              <w:rPr>
                <w:rFonts w:ascii="Times New Roman" w:hAnsi="Times New Roman" w:cs="Times New Roman"/>
              </w:rPr>
              <w:t>13.</w:t>
            </w:r>
          </w:p>
        </w:tc>
      </w:tr>
    </w:tbl>
    <w:p w:rsidR="002C21D4" w:rsidRDefault="002C21D4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B12C3" w:rsidRPr="00AC6A9F" w:rsidRDefault="00BB12C3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EZBEDNOSNI LIST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64709" w:rsidRPr="00AC6A9F" w:rsidRDefault="00764709" w:rsidP="00764709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D51D0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318"/>
        <w:gridCol w:w="196"/>
        <w:gridCol w:w="2234"/>
        <w:gridCol w:w="2340"/>
        <w:gridCol w:w="2173"/>
      </w:tblGrid>
      <w:tr w:rsidR="00D51D00" w:rsidTr="0071109E">
        <w:trPr>
          <w:trHeight w:val="465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764709" w:rsidTr="0060748B">
        <w:trPr>
          <w:trHeight w:val="1142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64709" w:rsidRPr="002A62CE" w:rsidRDefault="00764709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764709" w:rsidRPr="002A62CE" w:rsidRDefault="0083593F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Izbegavati kontakt sa kožom, očima i udisanje para i magle</w:t>
            </w:r>
            <w:r w:rsidR="0060748B">
              <w:rPr>
                <w:rFonts w:ascii="Times New Roman" w:hAnsi="Times New Roman" w:cs="Times New Roman"/>
              </w:rPr>
              <w:t xml:space="preserve"> od proizvoda.</w:t>
            </w:r>
            <w:r w:rsidR="0060748B" w:rsidRPr="002A62CE">
              <w:rPr>
                <w:rFonts w:ascii="Times New Roman" w:hAnsi="Times New Roman" w:cs="Times New Roman"/>
              </w:rPr>
              <w:t xml:space="preserve"> Ne jesti, ne piti</w:t>
            </w:r>
            <w:r w:rsidR="0060748B">
              <w:rPr>
                <w:rFonts w:ascii="Times New Roman" w:hAnsi="Times New Roman" w:cs="Times New Roman"/>
              </w:rPr>
              <w:t xml:space="preserve"> u toku rada. Videti tačku 8. </w:t>
            </w:r>
          </w:p>
        </w:tc>
      </w:tr>
      <w:tr w:rsidR="00D51D00" w:rsidTr="00351689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D00" w:rsidTr="00351689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60748B" w:rsidRPr="002A62CE" w:rsidRDefault="0060748B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Default="0060748B" w:rsidP="006074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Držati dalje od hrane, pića, i hrane za životinje.</w:t>
            </w:r>
          </w:p>
          <w:p w:rsidR="0060748B" w:rsidRDefault="0060748B" w:rsidP="006074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Nekompatibilni materijali nisu posebno naznačeni.</w:t>
            </w:r>
          </w:p>
          <w:p w:rsidR="0060748B" w:rsidRPr="002A62CE" w:rsidRDefault="0060748B" w:rsidP="006074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Obezbediti adekvatnu ventilaciju.</w:t>
            </w:r>
          </w:p>
        </w:tc>
      </w:tr>
      <w:tr w:rsidR="0039538E" w:rsidTr="0039538E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538E" w:rsidTr="0039538E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39538E" w:rsidP="003953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60748B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39538E" w:rsidTr="0039538E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39538E" w:rsidP="003953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60748B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64709" w:rsidTr="0060748B">
        <w:trPr>
          <w:trHeight w:val="22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0748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Nisu posebno navedeni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60748B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60748B" w:rsidRPr="002A62CE" w:rsidTr="005D5A24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0748B" w:rsidRPr="002A62CE" w:rsidRDefault="0060748B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</w:tc>
      </w:tr>
      <w:tr w:rsidR="0060748B" w:rsidRPr="002A62CE" w:rsidTr="000534FE">
        <w:trPr>
          <w:trHeight w:val="465"/>
          <w:jc w:val="center"/>
        </w:trPr>
        <w:tc>
          <w:tcPr>
            <w:tcW w:w="27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748B" w:rsidRPr="000534FE" w:rsidRDefault="0060748B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4FE">
              <w:rPr>
                <w:rFonts w:ascii="Times New Roman" w:hAnsi="Times New Roman" w:cs="Times New Roman"/>
                <w:b/>
              </w:rPr>
              <w:t xml:space="preserve">Supstanca 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B" w:rsidRPr="000534FE" w:rsidRDefault="0060748B" w:rsidP="002A6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34FE">
              <w:rPr>
                <w:rFonts w:ascii="Times New Roman" w:hAnsi="Times New Roman" w:cs="Times New Roman"/>
                <w:b/>
              </w:rPr>
              <w:t>CAS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60748B" w:rsidP="002A6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34FE">
              <w:rPr>
                <w:rFonts w:ascii="Times New Roman" w:hAnsi="Times New Roman" w:cs="Times New Roman"/>
                <w:b/>
              </w:rPr>
              <w:t>TLW  TVA</w:t>
            </w:r>
          </w:p>
          <w:p w:rsidR="000534FE" w:rsidRPr="000534FE" w:rsidRDefault="000534FE" w:rsidP="002A6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E" w:rsidRPr="000534FE" w:rsidRDefault="000534FE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34FE">
              <w:rPr>
                <w:rFonts w:ascii="Times New Roman" w:hAnsi="Times New Roman" w:cs="Times New Roman"/>
                <w:b/>
              </w:rPr>
              <w:t xml:space="preserve">DNEL vrednost </w:t>
            </w:r>
          </w:p>
          <w:p w:rsidR="0060748B" w:rsidRPr="000534FE" w:rsidRDefault="000534FE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34FE">
              <w:rPr>
                <w:rFonts w:ascii="Times New Roman" w:hAnsi="Times New Roman" w:cs="Times New Roman"/>
                <w:b/>
              </w:rPr>
              <w:t>granice izloženosti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4FE" w:rsidRPr="000534FE" w:rsidRDefault="000534FE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34FE">
              <w:rPr>
                <w:rFonts w:ascii="Times New Roman" w:hAnsi="Times New Roman" w:cs="Times New Roman"/>
                <w:b/>
              </w:rPr>
              <w:t xml:space="preserve">DNEL vrednost </w:t>
            </w:r>
          </w:p>
          <w:p w:rsidR="0060748B" w:rsidRPr="000534FE" w:rsidRDefault="000534FE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34FE">
              <w:rPr>
                <w:rFonts w:ascii="Times New Roman" w:hAnsi="Times New Roman" w:cs="Times New Roman"/>
                <w:b/>
              </w:rPr>
              <w:t>granice izloženosti</w:t>
            </w:r>
          </w:p>
        </w:tc>
      </w:tr>
      <w:tr w:rsidR="0060748B" w:rsidRPr="002A62CE" w:rsidTr="000534FE">
        <w:trPr>
          <w:trHeight w:val="465"/>
          <w:jc w:val="center"/>
        </w:trPr>
        <w:tc>
          <w:tcPr>
            <w:tcW w:w="27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60748B" w:rsidP="005D5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534FE">
              <w:rPr>
                <w:rFonts w:ascii="Times New Roman" w:hAnsi="Times New Roman" w:cs="Times New Roman"/>
              </w:rPr>
              <w:t>Bentonite-Montmorillonite*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60748B" w:rsidP="005D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0534FE">
              <w:rPr>
                <w:rFonts w:ascii="Times New Roman" w:hAnsi="Times New Roman" w:cs="Times New Roman"/>
                <w:bCs/>
                <w:lang w:val="de-DE"/>
              </w:rPr>
              <w:t>1302-78-9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60748B" w:rsidP="002A6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34FE">
              <w:rPr>
                <w:rFonts w:ascii="Times New Roman" w:hAnsi="Times New Roman" w:cs="Times New Roman"/>
              </w:rPr>
              <w:t>0,4 mg/m</w:t>
            </w:r>
            <w:r w:rsidRPr="000534F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0534FE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34FE">
              <w:rPr>
                <w:rFonts w:ascii="Times New Roman" w:hAnsi="Times New Roman" w:cs="Times New Roman"/>
              </w:rPr>
              <w:t>Nije primenjivo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748B" w:rsidRPr="000534FE" w:rsidRDefault="000534FE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34FE">
              <w:rPr>
                <w:rFonts w:ascii="Times New Roman" w:hAnsi="Times New Roman" w:cs="Times New Roman"/>
              </w:rPr>
              <w:t>Nije primenjivo</w:t>
            </w:r>
          </w:p>
        </w:tc>
      </w:tr>
      <w:tr w:rsidR="0060748B" w:rsidRPr="002A62CE" w:rsidTr="000534FE">
        <w:trPr>
          <w:trHeight w:val="70"/>
          <w:jc w:val="center"/>
        </w:trPr>
        <w:tc>
          <w:tcPr>
            <w:tcW w:w="27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60748B" w:rsidP="005D5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534FE">
              <w:rPr>
                <w:rFonts w:ascii="Times New Roman" w:hAnsi="Times New Roman" w:cs="Times New Roman"/>
              </w:rPr>
              <w:t>Sepiolite*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60748B" w:rsidP="005D5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0534FE">
              <w:rPr>
                <w:rFonts w:ascii="Times New Roman" w:hAnsi="Times New Roman" w:cs="Times New Roman"/>
                <w:bCs/>
                <w:lang w:val="de-DE"/>
              </w:rPr>
              <w:t>63800-37-3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60748B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34FE">
              <w:rPr>
                <w:rFonts w:ascii="Times New Roman" w:hAnsi="Times New Roman" w:cs="Times New Roman"/>
              </w:rPr>
              <w:t>0,05 mg/m</w:t>
            </w:r>
            <w:r w:rsidRPr="000534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0534FE">
              <w:rPr>
                <w:rFonts w:ascii="Times New Roman" w:hAnsi="Times New Roman" w:cs="Times New Roman"/>
              </w:rPr>
              <w:t xml:space="preserve"> </w:t>
            </w:r>
          </w:p>
          <w:p w:rsidR="0060748B" w:rsidRPr="000534FE" w:rsidRDefault="0060748B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34FE">
              <w:rPr>
                <w:rFonts w:ascii="Times New Roman" w:hAnsi="Times New Roman" w:cs="Times New Roman"/>
              </w:rPr>
              <w:t>(respiratorna prašina)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B" w:rsidRPr="000534FE" w:rsidRDefault="000534FE">
            <w:pPr>
              <w:rPr>
                <w:rFonts w:ascii="Times New Roman" w:hAnsi="Times New Roman" w:cs="Times New Roman"/>
              </w:rPr>
            </w:pPr>
            <w:r w:rsidRPr="000534FE">
              <w:rPr>
                <w:rFonts w:ascii="Times New Roman" w:hAnsi="Times New Roman" w:cs="Times New Roman"/>
              </w:rPr>
              <w:t>Nije primenjivo</w:t>
            </w:r>
          </w:p>
          <w:p w:rsidR="0060748B" w:rsidRPr="000534FE" w:rsidRDefault="0060748B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748B" w:rsidRPr="000534FE" w:rsidRDefault="000534FE">
            <w:pPr>
              <w:rPr>
                <w:rFonts w:ascii="Times New Roman" w:hAnsi="Times New Roman" w:cs="Times New Roman"/>
              </w:rPr>
            </w:pPr>
            <w:r w:rsidRPr="000534FE">
              <w:rPr>
                <w:rFonts w:ascii="Times New Roman" w:hAnsi="Times New Roman" w:cs="Times New Roman"/>
              </w:rPr>
              <w:t>Nije primenjivo</w:t>
            </w:r>
          </w:p>
          <w:p w:rsidR="0060748B" w:rsidRPr="000534FE" w:rsidRDefault="0060748B" w:rsidP="00607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4FE" w:rsidRPr="002A62CE" w:rsidTr="000534FE">
        <w:trPr>
          <w:trHeight w:val="177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4FE" w:rsidRPr="000534FE" w:rsidRDefault="000534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2CE" w:rsidRPr="002A62CE" w:rsidTr="000534FE">
        <w:trPr>
          <w:trHeight w:val="70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DC4F00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0534FE" w:rsidP="0007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</w:p>
        </w:tc>
      </w:tr>
      <w:tr w:rsidR="002A62CE" w:rsidRPr="002A62CE" w:rsidTr="000534FE">
        <w:trPr>
          <w:trHeight w:val="80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Lična zaštitna sredstva.</w:t>
            </w:r>
            <w:r w:rsidR="00BC2862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0534FE">
        <w:trPr>
          <w:trHeight w:val="80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DC4F00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AF510E">
        <w:trPr>
          <w:trHeight w:val="80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0534FE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neophodno pri normalnoj upotrebi. Međutim, upravljati se u skladu sa dobrom radnom praksom.</w:t>
            </w:r>
          </w:p>
        </w:tc>
      </w:tr>
      <w:tr w:rsidR="002A62CE" w:rsidRPr="002A62CE" w:rsidTr="000534FE">
        <w:trPr>
          <w:trHeight w:val="80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0534FE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posebno naznačeno.</w:t>
            </w:r>
          </w:p>
        </w:tc>
      </w:tr>
      <w:tr w:rsidR="002A62CE" w:rsidRPr="002A62CE" w:rsidTr="00AF510E">
        <w:trPr>
          <w:trHeight w:val="80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2A62CE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0534FE">
              <w:rPr>
                <w:rFonts w:ascii="Times New Roman" w:hAnsi="Times New Roman" w:cs="Times New Roman"/>
                <w:lang w:val="de-DE"/>
              </w:rPr>
              <w:t>Nije posebno naznačeno.</w:t>
            </w:r>
          </w:p>
        </w:tc>
      </w:tr>
      <w:tr w:rsidR="002A62CE" w:rsidRPr="002A62CE" w:rsidTr="000534FE">
        <w:trPr>
          <w:trHeight w:val="80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0534FE" w:rsidP="00AF51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Nije posebno naznačeno</w:t>
            </w:r>
          </w:p>
        </w:tc>
      </w:tr>
      <w:tr w:rsidR="002A62CE" w:rsidRPr="002A62CE" w:rsidTr="000534FE">
        <w:trPr>
          <w:trHeight w:val="423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</w:tbl>
    <w:p w:rsidR="000534FE" w:rsidRPr="002C21D4" w:rsidRDefault="000534FE" w:rsidP="000534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534FE" w:rsidRPr="00AC6A9F" w:rsidRDefault="000534FE" w:rsidP="000534FE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0534FE" w:rsidRDefault="000534FE" w:rsidP="000534F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1080"/>
        <w:gridCol w:w="5053"/>
      </w:tblGrid>
      <w:tr w:rsidR="002A62CE" w:rsidRPr="002A62CE" w:rsidTr="000534FE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>- Posebne higijenske mere:</w:t>
            </w:r>
          </w:p>
        </w:tc>
        <w:tc>
          <w:tcPr>
            <w:tcW w:w="61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0534FE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0534FE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0534FE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0534FE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Nema podataka.</w:t>
            </w:r>
          </w:p>
        </w:tc>
      </w:tr>
      <w:tr w:rsidR="002A62CE" w:rsidRPr="002A62CE" w:rsidTr="000534F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2A62CE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A62CE" w:rsidRPr="002A62CE" w:rsidTr="00F9202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A62CE" w:rsidRPr="002A62CE" w:rsidTr="00F92024">
        <w:trPr>
          <w:trHeight w:val="35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2A62CE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21441C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proizvoda.</w:t>
            </w:r>
          </w:p>
        </w:tc>
      </w:tr>
      <w:tr w:rsidR="002A62CE" w:rsidRPr="002A62CE" w:rsidTr="00F92024">
        <w:trPr>
          <w:trHeight w:val="35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764709" w:rsidRPr="002A62C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A62CE" w:rsidRPr="002A62CE" w:rsidTr="00F92024">
        <w:trPr>
          <w:trHeight w:val="35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</w:rPr>
              <w:t>g/cm</w:t>
            </w:r>
            <w:r w:rsidRPr="002A62C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-Rastvorljivost: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A62CE">
        <w:trPr>
          <w:trHeight w:val="1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2A62CE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Videti tehničku specifikaciju proizvoda.</w:t>
            </w:r>
          </w:p>
        </w:tc>
      </w:tr>
      <w:tr w:rsidR="002A62CE" w:rsidRPr="002A62CE" w:rsidTr="002A62CE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2A6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2A62CE" w:rsidRPr="002A62CE" w:rsidTr="006A7CCC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2A62CE" w:rsidRPr="002A62CE" w:rsidTr="006A7CCC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6A7CC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6A7CC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>Proizvod je stabilan pod propisanim uslovima skladištenja i rukovanja.</w:t>
            </w:r>
            <w:r w:rsidR="006A7CCC"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>Proizvod je stabilan pod propisanim uslovima skladištenja i rukovanja.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naznačeno</w:t>
            </w:r>
            <w:r w:rsidR="006A7CCC" w:rsidRPr="002A62CE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</w:tbl>
    <w:p w:rsidR="0021441C" w:rsidRPr="002C21D4" w:rsidRDefault="0021441C" w:rsidP="002144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1441C" w:rsidRPr="00AC6A9F" w:rsidRDefault="0021441C" w:rsidP="0021441C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21441C" w:rsidRDefault="0021441C" w:rsidP="0021441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</w:t>
      </w:r>
      <w:r w:rsidRPr="009A04C5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2A62CE" w:rsidRPr="002A62CE" w:rsidTr="0021441C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10.4. Uslovi koje treba izbegavati: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>Proizvod je stabilan pod propisanim uslovima skladištenja i rukovanja.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naznačeno</w:t>
            </w:r>
            <w:r w:rsidR="006A7CCC" w:rsidRPr="002A62CE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naznačeno</w:t>
            </w:r>
            <w:r w:rsidR="006A7CCC" w:rsidRPr="002A62CE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2A62CE" w:rsidRDefault="006A7CCC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21441C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Na usta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2A62CE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Preko pluća (LC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4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Kožom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1441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1441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A62CE" w:rsidRPr="002A62CE" w:rsidTr="0021441C">
        <w:trPr>
          <w:trHeight w:val="3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3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3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3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3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3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3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Usvojiti dobre radne navike tako da proizvod ne zagadi okolinu</w:t>
            </w:r>
          </w:p>
        </w:tc>
      </w:tr>
      <w:tr w:rsidR="002A62CE" w:rsidRPr="002A62CE" w:rsidTr="0021441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A62CE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1441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21441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21441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2A62CE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A62C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</w:tbl>
    <w:p w:rsidR="006A7CCC" w:rsidRDefault="006A7CC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A7CCC" w:rsidRDefault="006A7CC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B12C3" w:rsidRPr="00AC6A9F" w:rsidRDefault="00BB12C3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  <w:sz w:val="20"/>
          <w:szCs w:val="20"/>
          <w:lang w:val="sr-Latn-RS"/>
        </w:rPr>
        <w:t>BEZBEDNOSNI LIST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64709" w:rsidRPr="00AC6A9F" w:rsidRDefault="00764709" w:rsidP="00764709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8C30B3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21441C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2969"/>
        <w:gridCol w:w="3164"/>
      </w:tblGrid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>12.4. Mobilnost u zemljištu</w:t>
            </w:r>
          </w:p>
        </w:tc>
        <w:tc>
          <w:tcPr>
            <w:tcW w:w="613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</w:rPr>
              <w:t xml:space="preserve">- </w:t>
            </w:r>
            <w:r w:rsidRPr="002A62CE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A6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A62CE" w:rsidRPr="002A62CE" w:rsidTr="002A6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2A62CE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2A62CE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A62CE" w:rsidRPr="002A62CE" w:rsidTr="002A62CE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1F5CFA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sadrži supstance koje su PBT ili vPvB.</w:t>
            </w:r>
          </w:p>
        </w:tc>
      </w:tr>
      <w:tr w:rsidR="002A62CE" w:rsidRPr="002A62CE" w:rsidTr="002A62CE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A6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Ostali podaci: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F5CFA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9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A62CE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A62CE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2A62CE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Zagađena ambalaža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2A62CE" w:rsidRPr="002A62CE" w:rsidTr="001F5CFA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2A62C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Gore pomenuti propisi.</w:t>
            </w:r>
          </w:p>
        </w:tc>
      </w:tr>
      <w:tr w:rsidR="006A7CCC" w:rsidTr="001F5CFA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45717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6A7CCC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4469C" w:rsidRDefault="001F5CFA" w:rsidP="001F5CF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bookmarkStart w:id="0" w:name="_GoBack"/>
            <w:r>
              <w:rPr>
                <w:rFonts w:ascii="Times-New-Roman" w:hAnsi="Times-New-Roman" w:cs="Times-New-Roman"/>
              </w:rPr>
              <w:t>regulati</w:t>
            </w:r>
            <w:r w:rsidRPr="00A4469C">
              <w:rPr>
                <w:rFonts w:ascii="Times-New-Roman" w:hAnsi="Times-New-Roman" w:cs="Times-New-Roman"/>
              </w:rPr>
              <w:t>v</w:t>
            </w:r>
            <w:bookmarkEnd w:id="0"/>
            <w:r w:rsidRPr="00A4469C">
              <w:rPr>
                <w:rFonts w:ascii="Times-New-Roman" w:hAnsi="Times-New-Roman" w:cs="Times-New-Roman"/>
              </w:rPr>
              <w:t>om o transportu.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762E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A7CCC" w:rsidTr="001F5CFA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</w:tbl>
    <w:p w:rsidR="001F5CFA" w:rsidRPr="00AC6A9F" w:rsidRDefault="001F5CFA" w:rsidP="001F5C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  <w:sz w:val="20"/>
          <w:szCs w:val="20"/>
          <w:lang w:val="sr-Latn-RS"/>
        </w:rPr>
        <w:t>BEZBEDNOSNI LIST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F5CFA" w:rsidRPr="00AC6A9F" w:rsidRDefault="001F5CFA" w:rsidP="001F5CFA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1F5CFA" w:rsidRDefault="001F5CFA" w:rsidP="001F5CFA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2969"/>
        <w:gridCol w:w="3164"/>
      </w:tblGrid>
      <w:tr w:rsidR="006A7CCC" w:rsidTr="001F5CFA">
        <w:trPr>
          <w:trHeight w:val="36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Vodeni putevi u zemlji (ADN):</w:t>
            </w:r>
          </w:p>
        </w:tc>
        <w:tc>
          <w:tcPr>
            <w:tcW w:w="2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RPr="00A4469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1F5CFA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Aneksu II MARPOL73/78 i IBC kodu, nije primenjivo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RPr="00A4469C" w:rsidTr="002A62CE">
        <w:trPr>
          <w:trHeight w:val="9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2A62CE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5CFA" w:rsidRDefault="009635AA" w:rsidP="005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 xml:space="preserve">Zakon o hemikalijama </w:t>
            </w:r>
            <w:r w:rsidRPr="00AC6A9F">
              <w:rPr>
                <w:rFonts w:ascii="Times New Roman" w:hAnsi="Times New Roman" w:cs="Times New Roman"/>
                <w:iCs/>
              </w:rPr>
              <w:t>(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AC6A9F">
              <w:rPr>
                <w:rFonts w:ascii="Times New Roman" w:hAnsi="Times New Roman" w:cs="Times New Roman"/>
                <w:iCs/>
              </w:rPr>
              <w:t>Sl. glasnik RS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AC6A9F">
              <w:rPr>
                <w:rFonts w:ascii="Times New Roman" w:hAnsi="Times New Roman" w:cs="Times New Roman"/>
                <w:iCs/>
              </w:rPr>
              <w:t>, br. 36/2009, 88/2010, 92/2011 i 93/2012)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="001F5CFA" w:rsidRPr="001F5CFA">
              <w:rPr>
                <w:rFonts w:ascii="Times New Roman" w:hAnsi="Times New Roman" w:cs="Times New Roman"/>
              </w:rPr>
              <w:t>Dir. 67/548/EEC (Classification, packaging and labelling of dangerous substances)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Dir. 99/45/EC (Classification, packaging and labelling of dangerous preparations)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Dir. 98/24/EC (Risks related to chemical agents at work)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Dir. 2000/39/EC (Occupational exposure limit values)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Dir. 2006/8/EC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Regulation (EC) n. 1907/2006 (REACH)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Regulation (EC) n. 1272/2008 (CLP)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Regulation (EC) n. 790/2009 (ATP 1 CLP)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Regulation (EU) n. 453/2010 (Annex I)</w:t>
            </w:r>
            <w:r w:rsidR="001F5CFA">
              <w:rPr>
                <w:rFonts w:ascii="Times New Roman" w:hAnsi="Times New Roman" w:cs="Times New Roman"/>
              </w:rPr>
              <w:t xml:space="preserve">, </w:t>
            </w:r>
            <w:r w:rsidR="001F5CFA" w:rsidRPr="001F5CFA">
              <w:rPr>
                <w:rFonts w:ascii="Times New Roman" w:hAnsi="Times New Roman" w:cs="Times New Roman"/>
              </w:rPr>
              <w:t>Regulation (EU) n. 286/2011 (ATP 2 CLP)</w:t>
            </w:r>
            <w:r w:rsidR="001F5CFA">
              <w:rPr>
                <w:rFonts w:ascii="Times New Roman" w:hAnsi="Times New Roman" w:cs="Times New Roman"/>
              </w:rPr>
              <w:t>, ograničenja koje se odnose na proizvod ili supstance koje ulaze u sastav proizvoda prema</w:t>
            </w:r>
            <w:r w:rsidR="001F5CFA" w:rsidRPr="001F5CFA">
              <w:rPr>
                <w:rFonts w:ascii="Times New Roman" w:hAnsi="Times New Roman" w:cs="Times New Roman"/>
              </w:rPr>
              <w:t xml:space="preserve"> Annex XVII Regulation</w:t>
            </w:r>
            <w:r w:rsidR="001F5CFA">
              <w:rPr>
                <w:rFonts w:ascii="Times New Roman" w:hAnsi="Times New Roman" w:cs="Times New Roman"/>
              </w:rPr>
              <w:t xml:space="preserve"> </w:t>
            </w:r>
            <w:r w:rsidR="001F5CFA" w:rsidRPr="001F5CFA">
              <w:rPr>
                <w:rFonts w:ascii="Times New Roman" w:hAnsi="Times New Roman" w:cs="Times New Roman"/>
              </w:rPr>
              <w:t xml:space="preserve">(EC) 1907/2006 (REACH) </w:t>
            </w:r>
            <w:r w:rsidR="001F5CFA">
              <w:rPr>
                <w:rFonts w:ascii="Times New Roman" w:hAnsi="Times New Roman" w:cs="Times New Roman"/>
              </w:rPr>
              <w:t>i propisa</w:t>
            </w:r>
            <w:r w:rsidR="001F5CFA" w:rsidRPr="001F5CFA">
              <w:rPr>
                <w:rFonts w:ascii="Times New Roman" w:hAnsi="Times New Roman" w:cs="Times New Roman"/>
              </w:rPr>
              <w:t>:</w:t>
            </w:r>
            <w:r w:rsidR="001F5CFA">
              <w:rPr>
                <w:rFonts w:ascii="Times New Roman" w:hAnsi="Times New Roman" w:cs="Times New Roman"/>
              </w:rPr>
              <w:t xml:space="preserve"> nema.</w:t>
            </w:r>
          </w:p>
          <w:p w:rsidR="00AC6A9F" w:rsidRPr="001F5CFA" w:rsidRDefault="001F5CFA" w:rsidP="005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Gde je primenjivo, rukovoditi </w:t>
            </w:r>
            <w:proofErr w:type="gramStart"/>
            <w:r>
              <w:rPr>
                <w:rFonts w:ascii="Times New Roman" w:hAnsi="Times New Roman" w:cs="Times New Roman"/>
              </w:rPr>
              <w:t>se  Direktivom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5CFA">
              <w:rPr>
                <w:rFonts w:ascii="Times New Roman" w:hAnsi="Times New Roman" w:cs="Times New Roman"/>
              </w:rPr>
              <w:t xml:space="preserve">82/501/EEC </w:t>
            </w:r>
            <w:r>
              <w:rPr>
                <w:rFonts w:ascii="Times New Roman" w:hAnsi="Times New Roman" w:cs="Times New Roman"/>
              </w:rPr>
              <w:t>i propisima</w:t>
            </w:r>
            <w:r w:rsidR="005D5A24">
              <w:rPr>
                <w:rFonts w:ascii="Times New Roman" w:hAnsi="Times New Roman" w:cs="Times New Roman"/>
              </w:rPr>
              <w:t xml:space="preserve"> </w:t>
            </w:r>
            <w:r w:rsidRPr="001F5CFA">
              <w:rPr>
                <w:rFonts w:ascii="Times New Roman" w:hAnsi="Times New Roman" w:cs="Times New Roman"/>
              </w:rPr>
              <w:t xml:space="preserve">Regulation (EC) </w:t>
            </w:r>
            <w:r w:rsidR="005D5A24">
              <w:rPr>
                <w:rFonts w:ascii="Times New Roman" w:hAnsi="Times New Roman" w:cs="Times New Roman"/>
              </w:rPr>
              <w:t>br.</w:t>
            </w:r>
            <w:r w:rsidRPr="001F5CFA">
              <w:rPr>
                <w:rFonts w:ascii="Times New Roman" w:hAnsi="Times New Roman" w:cs="Times New Roman"/>
              </w:rPr>
              <w:t xml:space="preserve"> 648/2004 (detergent</w:t>
            </w:r>
            <w:r w:rsidR="005D5A24">
              <w:rPr>
                <w:rFonts w:ascii="Times New Roman" w:hAnsi="Times New Roman" w:cs="Times New Roman"/>
              </w:rPr>
              <w:t>i</w:t>
            </w:r>
            <w:r w:rsidRPr="001F5CFA">
              <w:rPr>
                <w:rFonts w:ascii="Times New Roman" w:hAnsi="Times New Roman" w:cs="Times New Roman"/>
              </w:rPr>
              <w:t>).</w:t>
            </w:r>
            <w:r w:rsidR="005D5A24">
              <w:rPr>
                <w:rFonts w:ascii="Times New Roman" w:hAnsi="Times New Roman" w:cs="Times New Roman"/>
              </w:rPr>
              <w:t xml:space="preserve"> </w:t>
            </w:r>
            <w:r w:rsidRPr="001F5CFA">
              <w:rPr>
                <w:rFonts w:ascii="Times New Roman" w:hAnsi="Times New Roman" w:cs="Times New Roman"/>
              </w:rPr>
              <w:t>1999/13/EC (VOC dire</w:t>
            </w:r>
            <w:r w:rsidR="005D5A24">
              <w:rPr>
                <w:rFonts w:ascii="Times New Roman" w:hAnsi="Times New Roman" w:cs="Times New Roman"/>
              </w:rPr>
              <w:t>k</w:t>
            </w:r>
            <w:r w:rsidRPr="001F5CFA">
              <w:rPr>
                <w:rFonts w:ascii="Times New Roman" w:hAnsi="Times New Roman" w:cs="Times New Roman"/>
              </w:rPr>
              <w:t>tiv</w:t>
            </w:r>
            <w:r w:rsidR="005D5A24">
              <w:rPr>
                <w:rFonts w:ascii="Times New Roman" w:hAnsi="Times New Roman" w:cs="Times New Roman"/>
              </w:rPr>
              <w:t>a</w:t>
            </w:r>
            <w:r w:rsidRPr="001F5CFA">
              <w:rPr>
                <w:rFonts w:ascii="Times New Roman" w:hAnsi="Times New Roman" w:cs="Times New Roman"/>
              </w:rPr>
              <w:t>)</w:t>
            </w:r>
          </w:p>
        </w:tc>
      </w:tr>
      <w:tr w:rsidR="006A7CCC" w:rsidTr="009635AA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2A62CE">
        <w:trPr>
          <w:trHeight w:val="65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Pr="00AC6A9F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4B5C" w:rsidRPr="00BC01BC" w:rsidRDefault="00204B5C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6A7CCC" w:rsidTr="009635AA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7CCC" w:rsidTr="002A6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6A7CCC" w:rsidTr="002A6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/</w:t>
            </w:r>
          </w:p>
        </w:tc>
      </w:tr>
      <w:tr w:rsidR="006A7CCC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6A7CCC" w:rsidTr="009635AA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- Značenje oznaka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AC6A9F" w:rsidRDefault="006A7CCC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7CCC" w:rsidTr="009635AA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/</w:t>
            </w:r>
          </w:p>
        </w:tc>
      </w:tr>
    </w:tbl>
    <w:p w:rsidR="00BB12C3" w:rsidRPr="002C21D4" w:rsidRDefault="00BB12C3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64709" w:rsidRPr="00AC6A9F" w:rsidRDefault="00764709" w:rsidP="00764709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2C1ECB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AF510E"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88774D" w:rsidTr="00AC6A9F">
        <w:trPr>
          <w:trHeight w:val="465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lastRenderedPageBreak/>
              <w:t>Oznaka rizika: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88774D">
              <w:rPr>
                <w:rFonts w:ascii="Times-New-Roman,Bold" w:hAnsi="Times-New-Roman,Bold" w:cs="Times-New-Roman,Bold"/>
                <w:bCs/>
                <w:color w:val="000000"/>
              </w:rPr>
              <w:t>Nema.</w:t>
            </w:r>
          </w:p>
        </w:tc>
      </w:tr>
      <w:tr w:rsidR="0088774D" w:rsidTr="00461F2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>/</w:t>
            </w:r>
          </w:p>
        </w:tc>
      </w:tr>
      <w:tr w:rsidR="0088774D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9309C6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9309C6">
              <w:rPr>
                <w:rFonts w:ascii="Times-New-Roman,Bold" w:hAnsi="Times-New-Roman,Bold" w:cs="Times-New-Roman,Bold"/>
                <w:bCs/>
                <w:color w:val="000000"/>
              </w:rPr>
              <w:t>Nema.</w:t>
            </w:r>
          </w:p>
        </w:tc>
      </w:tr>
      <w:tr w:rsidR="0088774D" w:rsidTr="00461F2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485B93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 oznaka</w:t>
            </w:r>
            <w:r w:rsidR="0088774D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204B5C">
              <w:rPr>
                <w:rFonts w:ascii="Times-New-Roman,Bold" w:hAnsi="Times-New-Roman,Bold" w:cs="Times-New-Roman,Bold"/>
                <w:b/>
                <w:bCs/>
                <w:color w:val="000000"/>
              </w:rPr>
              <w:t>/</w:t>
            </w:r>
          </w:p>
        </w:tc>
      </w:tr>
      <w:tr w:rsidR="008A3724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4" w:rsidRPr="00AC6A9F" w:rsidRDefault="008A3724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8A3724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</w:rPr>
              <w:t xml:space="preserve">Prethodno izdanje: </w:t>
            </w:r>
            <w:r w:rsidR="00AF510E">
              <w:rPr>
                <w:rFonts w:ascii="Times New Roman" w:hAnsi="Times New Roman" w:cs="Times New Roman"/>
                <w:bCs/>
              </w:rPr>
              <w:t xml:space="preserve">decembar, </w:t>
            </w:r>
            <w:proofErr w:type="gramStart"/>
            <w:r w:rsidRPr="00AC6A9F">
              <w:rPr>
                <w:rFonts w:ascii="Times New Roman" w:hAnsi="Times New Roman" w:cs="Times New Roman"/>
                <w:bCs/>
              </w:rPr>
              <w:t>2012.,</w:t>
            </w:r>
            <w:proofErr w:type="gramEnd"/>
            <w:r w:rsidRPr="00AC6A9F">
              <w:rPr>
                <w:rFonts w:ascii="Times New Roman" w:hAnsi="Times New Roman" w:cs="Times New Roman"/>
                <w:bCs/>
              </w:rPr>
              <w:t xml:space="preserve"> izdanje:1. Promene su načinjene u tačkama: 1, 2, 3, 4, 5, 6, 7, 8, 9, 10, 11, 12, 13, 14, 15 i 16, kako bi </w:t>
            </w:r>
            <w:r w:rsidR="001E6EAB">
              <w:rPr>
                <w:rFonts w:ascii="Times New Roman" w:hAnsi="Times New Roman" w:cs="Times New Roman"/>
                <w:bCs/>
              </w:rPr>
              <w:t xml:space="preserve">bezbednosni list </w:t>
            </w:r>
            <w:r w:rsidRPr="00AC6A9F">
              <w:rPr>
                <w:rFonts w:ascii="Times New Roman" w:hAnsi="Times New Roman" w:cs="Times New Roman"/>
                <w:bCs/>
              </w:rPr>
              <w:t>bio u skladu sa novim Pravilnikom</w:t>
            </w:r>
            <w:r w:rsidRPr="00AC6A9F">
              <w:rPr>
                <w:rFonts w:ascii="Times New Roman" w:hAnsi="Times New Roman" w:cs="Times New Roman"/>
                <w:lang w:val="de-DE"/>
              </w:rPr>
              <w:t xml:space="preserve"> o sadržaju Bezbednosnog lista „Sl glasnik RS“, br.100/11, koji stupa na snagu od 01.01.2013.</w:t>
            </w:r>
          </w:p>
        </w:tc>
      </w:tr>
      <w:tr w:rsidR="005D787C" w:rsidTr="005D787C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D787C" w:rsidRPr="00AC6A9F" w:rsidRDefault="005D787C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D787C" w:rsidRPr="00AC6A9F" w:rsidRDefault="005D787C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22EF" w:rsidTr="005D787C">
        <w:trPr>
          <w:trHeight w:val="3212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ADR: European Agreement concerning the International Carriage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Dangerous Goods by Road.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CAS: Chemical Abstracts Service (division of the American Chemical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Society).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CLP: Classification, Labeling, Packaging.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DNEL: Derived No Effect Level.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EINECS: European Inventory of Existing Commercial Chemical Substances.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GefStoffVO: Ordinance on Hazardous Substances, Germany.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GHS: Globally Harmonized System of Classification and Labeling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Chemicals.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IATA: International Air Transport Association. IATA-DGR: Dangerous Goods Regulation by the "International Air Transport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Association" (IATA).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ICAO: International Civil Aviation Organization.</w:t>
            </w:r>
          </w:p>
          <w:p w:rsidR="005D787C" w:rsidRPr="00AC6A9F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ICAO-TI: Technical Instructions by the "International Civil Aviation Organization"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(ICAO).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IMDG: International Maritime Code for Dangerous Goods.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INCI: International Nomenclature of Cosmetic Ingredients.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KSt: Explosion coefficient.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LC50: Lethal concentration, for 50 percent of test population.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LD50: Lethal dose, for 50 percent of test population.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LTE: Long-term exposure.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PNEC: Predicted No Effect Concentration.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RID: Regulation Concerning the International Transport of Dangerous Goods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by Rail.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STE: Short-term exposure.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STEL: Short Term Exposure limit.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STOT: Specific Target Organ Toxicity.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TLV: Threshold Limiting Value.</w:t>
            </w:r>
          </w:p>
          <w:p w:rsidR="005D787C" w:rsidRPr="00A42A1E" w:rsidRDefault="005D787C" w:rsidP="005D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TWATLV: Threshold Limit Value for the Time Weighted Average 8 hour day.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(ACGIH Standard).</w:t>
            </w:r>
          </w:p>
          <w:p w:rsidR="00BC22EF" w:rsidRPr="00AC6A9F" w:rsidRDefault="005D787C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A1E">
              <w:rPr>
                <w:rFonts w:ascii="Times New Roman" w:hAnsi="Times New Roman" w:cs="Times New Roman"/>
                <w:sz w:val="20"/>
                <w:szCs w:val="20"/>
              </w:rPr>
              <w:t>WGK: German Water Hazard Class.</w:t>
            </w:r>
          </w:p>
        </w:tc>
      </w:tr>
      <w:tr w:rsidR="00BC22EF" w:rsidTr="00B924FE">
        <w:trPr>
          <w:trHeight w:val="12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8A3724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AC6A9F" w:rsidRDefault="005D5A24" w:rsidP="005D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="0088774D" w:rsidRPr="00AC6A9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067D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88774D" w:rsidRDefault="0088774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F510E" w:rsidRDefault="00AF510E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D787C" w:rsidRDefault="005D787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D787C" w:rsidRDefault="005D787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F510E" w:rsidRDefault="00AF510E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8774D" w:rsidRDefault="0088774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B12C3" w:rsidRPr="00AC6A9F" w:rsidRDefault="00BB12C3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  <w:sz w:val="20"/>
          <w:szCs w:val="20"/>
          <w:lang w:val="sr-Latn-RS"/>
        </w:rPr>
        <w:t>BEZBEDNOSNI LIST (</w:t>
      </w:r>
      <w:r w:rsidR="00AF510E">
        <w:rPr>
          <w:rFonts w:ascii="Times New Roman" w:hAnsi="Times New Roman" w:cs="Times New Roman"/>
          <w:i/>
          <w:sz w:val="20"/>
          <w:szCs w:val="20"/>
          <w:lang w:val="sr-Latn-RS"/>
        </w:rPr>
        <w:t>Captex T2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64709" w:rsidRPr="00AC6A9F" w:rsidRDefault="00764709" w:rsidP="00764709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461F2E" w:rsidRPr="00AC6A9F" w:rsidRDefault="002C21D4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r w:rsidRPr="00AC6A9F">
        <w:rPr>
          <w:rFonts w:ascii="Times New Roman" w:hAnsi="Times New Roman" w:cs="Times New Roman"/>
        </w:rPr>
        <w:t xml:space="preserve">Strana </w:t>
      </w:r>
      <w:r w:rsidR="00AF510E">
        <w:rPr>
          <w:rFonts w:ascii="Times New Roman" w:hAnsi="Times New Roman" w:cs="Times New Roman"/>
        </w:rPr>
        <w:t>9</w:t>
      </w:r>
      <w:r w:rsidRPr="00AC6A9F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sectPr w:rsidR="00461F2E" w:rsidRPr="00AC6A9F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DE" w:rsidRDefault="001E3EDE" w:rsidP="005E0553">
      <w:pPr>
        <w:spacing w:after="0" w:line="240" w:lineRule="auto"/>
      </w:pPr>
      <w:r>
        <w:separator/>
      </w:r>
    </w:p>
  </w:endnote>
  <w:endnote w:type="continuationSeparator" w:id="0">
    <w:p w:rsidR="001E3EDE" w:rsidRDefault="001E3ED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DE" w:rsidRDefault="001E3EDE" w:rsidP="005E0553">
      <w:pPr>
        <w:spacing w:after="0" w:line="240" w:lineRule="auto"/>
      </w:pPr>
      <w:r>
        <w:separator/>
      </w:r>
    </w:p>
  </w:footnote>
  <w:footnote w:type="continuationSeparator" w:id="0">
    <w:p w:rsidR="001E3EDE" w:rsidRDefault="001E3ED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16" w:rsidRDefault="000D4216" w:rsidP="000D4216">
    <w:pPr>
      <w:pStyle w:val="Header"/>
    </w:pPr>
    <w:r>
      <w:rPr>
        <w:noProof/>
      </w:rPr>
      <w:drawing>
        <wp:inline distT="0" distB="0" distL="0" distR="0" wp14:anchorId="67095A0C" wp14:editId="6CD06BFA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534FE"/>
    <w:rsid w:val="00067DCF"/>
    <w:rsid w:val="00074FD9"/>
    <w:rsid w:val="00096130"/>
    <w:rsid w:val="000C0C66"/>
    <w:rsid w:val="000C3126"/>
    <w:rsid w:val="000D4216"/>
    <w:rsid w:val="000E3E04"/>
    <w:rsid w:val="000F1FB3"/>
    <w:rsid w:val="00152071"/>
    <w:rsid w:val="001569C6"/>
    <w:rsid w:val="001E3EDE"/>
    <w:rsid w:val="001E6EAB"/>
    <w:rsid w:val="001F5CFA"/>
    <w:rsid w:val="00204B5C"/>
    <w:rsid w:val="0021441C"/>
    <w:rsid w:val="00256DF9"/>
    <w:rsid w:val="002A14E8"/>
    <w:rsid w:val="002A62CE"/>
    <w:rsid w:val="002B13B9"/>
    <w:rsid w:val="002C1ECB"/>
    <w:rsid w:val="002C21D4"/>
    <w:rsid w:val="002C36FB"/>
    <w:rsid w:val="002D5149"/>
    <w:rsid w:val="00303F60"/>
    <w:rsid w:val="00307462"/>
    <w:rsid w:val="00314E24"/>
    <w:rsid w:val="003230BA"/>
    <w:rsid w:val="00335A8D"/>
    <w:rsid w:val="00351689"/>
    <w:rsid w:val="00374134"/>
    <w:rsid w:val="0039538E"/>
    <w:rsid w:val="003E5236"/>
    <w:rsid w:val="003F131A"/>
    <w:rsid w:val="00420678"/>
    <w:rsid w:val="00432C12"/>
    <w:rsid w:val="004536EA"/>
    <w:rsid w:val="0045717F"/>
    <w:rsid w:val="00461F2E"/>
    <w:rsid w:val="00473B38"/>
    <w:rsid w:val="00485B93"/>
    <w:rsid w:val="004C6F2C"/>
    <w:rsid w:val="004F03EB"/>
    <w:rsid w:val="005039BD"/>
    <w:rsid w:val="00536A1D"/>
    <w:rsid w:val="005377C2"/>
    <w:rsid w:val="005979D5"/>
    <w:rsid w:val="005C03C9"/>
    <w:rsid w:val="005D5A24"/>
    <w:rsid w:val="005D787C"/>
    <w:rsid w:val="005E0553"/>
    <w:rsid w:val="0060748B"/>
    <w:rsid w:val="00607DA6"/>
    <w:rsid w:val="0063635E"/>
    <w:rsid w:val="006669A8"/>
    <w:rsid w:val="0067694D"/>
    <w:rsid w:val="00676F94"/>
    <w:rsid w:val="006812B4"/>
    <w:rsid w:val="006A6001"/>
    <w:rsid w:val="006A7CCC"/>
    <w:rsid w:val="006C720B"/>
    <w:rsid w:val="006D1224"/>
    <w:rsid w:val="006F2F8B"/>
    <w:rsid w:val="0071109E"/>
    <w:rsid w:val="00714C28"/>
    <w:rsid w:val="00723511"/>
    <w:rsid w:val="0072765F"/>
    <w:rsid w:val="007518B9"/>
    <w:rsid w:val="007543CD"/>
    <w:rsid w:val="00764709"/>
    <w:rsid w:val="00794AD3"/>
    <w:rsid w:val="007A7A04"/>
    <w:rsid w:val="00824C25"/>
    <w:rsid w:val="0083593F"/>
    <w:rsid w:val="00884F14"/>
    <w:rsid w:val="008865EA"/>
    <w:rsid w:val="0088774D"/>
    <w:rsid w:val="008A3724"/>
    <w:rsid w:val="008C114A"/>
    <w:rsid w:val="008C30B3"/>
    <w:rsid w:val="009309C6"/>
    <w:rsid w:val="009635AA"/>
    <w:rsid w:val="00980C6D"/>
    <w:rsid w:val="009A04C5"/>
    <w:rsid w:val="009B30E6"/>
    <w:rsid w:val="00A25630"/>
    <w:rsid w:val="00A35FBB"/>
    <w:rsid w:val="00A42A1E"/>
    <w:rsid w:val="00A508F7"/>
    <w:rsid w:val="00A84B29"/>
    <w:rsid w:val="00AC6A9F"/>
    <w:rsid w:val="00AF2A89"/>
    <w:rsid w:val="00AF510E"/>
    <w:rsid w:val="00B12957"/>
    <w:rsid w:val="00B924FE"/>
    <w:rsid w:val="00BA1B1C"/>
    <w:rsid w:val="00BB05C2"/>
    <w:rsid w:val="00BB12C3"/>
    <w:rsid w:val="00BC01BC"/>
    <w:rsid w:val="00BC22EF"/>
    <w:rsid w:val="00BC2862"/>
    <w:rsid w:val="00C00128"/>
    <w:rsid w:val="00C1479D"/>
    <w:rsid w:val="00C44762"/>
    <w:rsid w:val="00C464FB"/>
    <w:rsid w:val="00C54609"/>
    <w:rsid w:val="00C55C08"/>
    <w:rsid w:val="00C979C4"/>
    <w:rsid w:val="00CC32B9"/>
    <w:rsid w:val="00CF677F"/>
    <w:rsid w:val="00D03287"/>
    <w:rsid w:val="00D06638"/>
    <w:rsid w:val="00D104E8"/>
    <w:rsid w:val="00D156B1"/>
    <w:rsid w:val="00D161B7"/>
    <w:rsid w:val="00D4241C"/>
    <w:rsid w:val="00D51C75"/>
    <w:rsid w:val="00D51D00"/>
    <w:rsid w:val="00D80EBC"/>
    <w:rsid w:val="00D83606"/>
    <w:rsid w:val="00D85858"/>
    <w:rsid w:val="00DA295D"/>
    <w:rsid w:val="00DC46A9"/>
    <w:rsid w:val="00DC4F00"/>
    <w:rsid w:val="00DE3772"/>
    <w:rsid w:val="00E43388"/>
    <w:rsid w:val="00E5128F"/>
    <w:rsid w:val="00E57838"/>
    <w:rsid w:val="00E70F8A"/>
    <w:rsid w:val="00E747D7"/>
    <w:rsid w:val="00E936CC"/>
    <w:rsid w:val="00EC607C"/>
    <w:rsid w:val="00F103C0"/>
    <w:rsid w:val="00F50902"/>
    <w:rsid w:val="00F72B16"/>
    <w:rsid w:val="00F92024"/>
    <w:rsid w:val="00FA36DC"/>
    <w:rsid w:val="00FC4D1B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8FA9-9EFF-4911-BB21-A4B0B0DB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8</cp:revision>
  <dcterms:created xsi:type="dcterms:W3CDTF">2012-11-15T09:10:00Z</dcterms:created>
  <dcterms:modified xsi:type="dcterms:W3CDTF">2013-02-05T09:09:00Z</dcterms:modified>
</cp:coreProperties>
</file>